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15" w:rsidRPr="007403D7" w:rsidRDefault="00C95CC6" w:rsidP="00C95CC6">
      <w:pPr>
        <w:spacing w:after="0"/>
        <w:ind w:firstLine="709"/>
        <w:jc w:val="center"/>
        <w:rPr>
          <w:rFonts w:ascii="Times New Roman" w:eastAsia="Times New Roman" w:hAnsi="Times New Roman" w:cs="Times New Roman"/>
          <w:b/>
          <w:color w:val="000000"/>
          <w:sz w:val="28"/>
          <w:szCs w:val="28"/>
        </w:rPr>
      </w:pPr>
      <w:bookmarkStart w:id="0" w:name="_Toc521663771"/>
      <w:bookmarkStart w:id="1" w:name="_Toc529454271"/>
      <w:bookmarkStart w:id="2" w:name="_Toc521663767"/>
      <w:r w:rsidRPr="007403D7">
        <w:rPr>
          <w:rFonts w:ascii="Times New Roman" w:eastAsia="Times New Roman" w:hAnsi="Times New Roman" w:cs="Times New Roman"/>
          <w:b/>
          <w:color w:val="000000"/>
          <w:sz w:val="28"/>
          <w:szCs w:val="28"/>
        </w:rPr>
        <w:t>О</w:t>
      </w:r>
      <w:r w:rsidR="00C26B15" w:rsidRPr="007403D7">
        <w:rPr>
          <w:rFonts w:ascii="Times New Roman" w:eastAsia="Times New Roman" w:hAnsi="Times New Roman" w:cs="Times New Roman"/>
          <w:b/>
          <w:color w:val="000000"/>
          <w:sz w:val="28"/>
          <w:szCs w:val="28"/>
        </w:rPr>
        <w:t>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p w:rsidR="007403D7" w:rsidRPr="00C95CC6" w:rsidRDefault="007403D7" w:rsidP="00C95CC6">
      <w:pPr>
        <w:spacing w:after="0"/>
        <w:ind w:firstLine="709"/>
        <w:jc w:val="center"/>
        <w:rPr>
          <w:rFonts w:ascii="Times New Roman" w:hAnsi="Times New Roman" w:cs="Times New Roman"/>
          <w:b/>
          <w:sz w:val="24"/>
          <w:szCs w:val="24"/>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1934"/>
        <w:gridCol w:w="1731"/>
      </w:tblGrid>
      <w:tr w:rsidR="00C26B15" w:rsidRPr="00C26B15" w:rsidTr="007403D7">
        <w:trPr>
          <w:tblHeader/>
          <w:jc w:val="center"/>
        </w:trPr>
        <w:tc>
          <w:tcPr>
            <w:tcW w:w="6376" w:type="dxa"/>
            <w:shd w:val="clear" w:color="auto" w:fill="FFFFFF" w:themeFill="background1"/>
            <w:vAlign w:val="center"/>
          </w:tcPr>
          <w:p w:rsidR="00C26B15" w:rsidRPr="00C95CC6" w:rsidRDefault="00C26B15" w:rsidP="00265B27">
            <w:pPr>
              <w:widowControl w:val="0"/>
              <w:spacing w:line="240" w:lineRule="auto"/>
              <w:jc w:val="center"/>
              <w:rPr>
                <w:rFonts w:ascii="Times New Roman" w:eastAsia="Times New Roman" w:hAnsi="Times New Roman" w:cs="Times New Roman"/>
                <w:bCs/>
                <w:color w:val="000000"/>
                <w:sz w:val="24"/>
                <w:szCs w:val="24"/>
              </w:rPr>
            </w:pPr>
            <w:r w:rsidRPr="00C95CC6">
              <w:rPr>
                <w:rFonts w:ascii="Times New Roman" w:eastAsia="Times New Roman" w:hAnsi="Times New Roman" w:cs="Times New Roman"/>
                <w:color w:val="000000"/>
                <w:sz w:val="24"/>
                <w:szCs w:val="24"/>
              </w:rPr>
              <w:t>Перечень информации</w:t>
            </w:r>
          </w:p>
        </w:tc>
        <w:tc>
          <w:tcPr>
            <w:tcW w:w="1826" w:type="dxa"/>
            <w:shd w:val="clear" w:color="auto" w:fill="FFFFFF" w:themeFill="background1"/>
          </w:tcPr>
          <w:p w:rsidR="00C26B15" w:rsidRPr="00C95CC6" w:rsidRDefault="00C26B15" w:rsidP="00265B27">
            <w:pPr>
              <w:widowControl w:val="0"/>
              <w:spacing w:line="240" w:lineRule="auto"/>
              <w:ind w:left="-108" w:right="-108"/>
              <w:jc w:val="center"/>
              <w:rPr>
                <w:rFonts w:ascii="Times New Roman" w:eastAsia="Times New Roman" w:hAnsi="Times New Roman" w:cs="Times New Roman"/>
                <w:bCs/>
                <w:color w:val="000000"/>
                <w:sz w:val="24"/>
                <w:szCs w:val="24"/>
              </w:rPr>
            </w:pPr>
            <w:r w:rsidRPr="00C95CC6">
              <w:rPr>
                <w:rFonts w:ascii="Times New Roman" w:eastAsia="Times New Roman" w:hAnsi="Times New Roman" w:cs="Times New Roman"/>
                <w:color w:val="000000"/>
                <w:sz w:val="24"/>
                <w:szCs w:val="24"/>
              </w:rPr>
              <w:t>на информационных стендах в помещении организации</w:t>
            </w:r>
          </w:p>
        </w:tc>
        <w:tc>
          <w:tcPr>
            <w:tcW w:w="1737" w:type="dxa"/>
            <w:shd w:val="clear" w:color="auto" w:fill="FFFFFF" w:themeFill="background1"/>
          </w:tcPr>
          <w:p w:rsidR="00C26B15" w:rsidRPr="00C95CC6" w:rsidRDefault="00C26B15" w:rsidP="007403D7">
            <w:pPr>
              <w:widowControl w:val="0"/>
              <w:spacing w:line="240" w:lineRule="auto"/>
              <w:ind w:left="-85" w:right="-108"/>
              <w:jc w:val="center"/>
              <w:rPr>
                <w:rFonts w:ascii="Times New Roman" w:eastAsia="Times New Roman" w:hAnsi="Times New Roman" w:cs="Times New Roman"/>
                <w:bCs/>
                <w:color w:val="000000"/>
                <w:sz w:val="24"/>
                <w:szCs w:val="24"/>
              </w:rPr>
            </w:pPr>
            <w:r w:rsidRPr="00C95CC6">
              <w:rPr>
                <w:rFonts w:ascii="Times New Roman" w:eastAsia="Times New Roman" w:hAnsi="Times New Roman" w:cs="Times New Roman"/>
                <w:color w:val="000000"/>
                <w:sz w:val="24"/>
                <w:szCs w:val="24"/>
              </w:rPr>
              <w:t>на официальном сайте организации в сети "Интернет»</w:t>
            </w:r>
          </w:p>
        </w:tc>
      </w:tr>
      <w:tr w:rsidR="007403D7" w:rsidRPr="00C26B15" w:rsidTr="007403D7">
        <w:trPr>
          <w:jc w:val="center"/>
        </w:trPr>
        <w:tc>
          <w:tcPr>
            <w:tcW w:w="6376" w:type="dxa"/>
            <w:vAlign w:val="center"/>
          </w:tcPr>
          <w:p w:rsidR="007403D7" w:rsidRPr="00C26B15" w:rsidRDefault="007403D7" w:rsidP="007403D7">
            <w:pPr>
              <w:pStyle w:val="Default"/>
              <w:spacing w:before="60" w:after="60"/>
              <w:jc w:val="center"/>
              <w:rPr>
                <w:b/>
                <w:bCs/>
                <w:sz w:val="22"/>
              </w:rPr>
            </w:pPr>
            <w:r>
              <w:t>1</w:t>
            </w:r>
          </w:p>
        </w:tc>
        <w:tc>
          <w:tcPr>
            <w:tcW w:w="1826" w:type="dxa"/>
            <w:vAlign w:val="center"/>
          </w:tcPr>
          <w:p w:rsidR="007403D7" w:rsidRPr="00C26B15" w:rsidRDefault="007403D7" w:rsidP="007403D7">
            <w:pPr>
              <w:pStyle w:val="Default"/>
              <w:spacing w:before="60" w:after="60"/>
              <w:jc w:val="center"/>
            </w:pPr>
            <w:r>
              <w:t>2</w:t>
            </w:r>
          </w:p>
        </w:tc>
        <w:tc>
          <w:tcPr>
            <w:tcW w:w="1737" w:type="dxa"/>
            <w:vAlign w:val="center"/>
          </w:tcPr>
          <w:p w:rsidR="007403D7" w:rsidRPr="00C26B15" w:rsidRDefault="007403D7" w:rsidP="007403D7">
            <w:pPr>
              <w:pStyle w:val="Default"/>
              <w:spacing w:before="60" w:after="60"/>
              <w:jc w:val="center"/>
            </w:pPr>
            <w:r>
              <w:t>3</w:t>
            </w:r>
          </w:p>
        </w:tc>
      </w:tr>
      <w:tr w:rsidR="00C26B15" w:rsidRPr="00C26B15" w:rsidTr="007403D7">
        <w:trPr>
          <w:jc w:val="center"/>
        </w:trPr>
        <w:tc>
          <w:tcPr>
            <w:tcW w:w="6376" w:type="dxa"/>
          </w:tcPr>
          <w:p w:rsidR="00C26B15" w:rsidRPr="00C26B15" w:rsidRDefault="00C26B15" w:rsidP="00265B27">
            <w:pPr>
              <w:pStyle w:val="Default"/>
              <w:rPr>
                <w:sz w:val="22"/>
              </w:rPr>
            </w:pPr>
            <w:r w:rsidRPr="00C26B15">
              <w:rPr>
                <w:b/>
                <w:bCs/>
                <w:sz w:val="22"/>
              </w:rPr>
              <w:t xml:space="preserve">I. Общая информация об организации культуры </w:t>
            </w:r>
          </w:p>
        </w:tc>
        <w:tc>
          <w:tcPr>
            <w:tcW w:w="1826"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p>
        </w:tc>
        <w:tc>
          <w:tcPr>
            <w:tcW w:w="1737"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26"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26"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26"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26" w:type="dxa"/>
            <w:vAlign w:val="center"/>
          </w:tcPr>
          <w:p w:rsidR="00C26B15" w:rsidRPr="00C26B15" w:rsidRDefault="007403D7" w:rsidP="00265B27">
            <w:pPr>
              <w:pStyle w:val="a3"/>
              <w:widowControl w:val="0"/>
              <w:ind w:left="0"/>
              <w:jc w:val="center"/>
              <w:rPr>
                <w:b/>
                <w:bCs/>
                <w:color w:val="000000"/>
                <w:sz w:val="22"/>
                <w:szCs w:val="24"/>
              </w:rPr>
            </w:pPr>
            <w:r>
              <w:rPr>
                <w:b/>
                <w:bCs/>
                <w:color w:val="000000"/>
                <w:sz w:val="22"/>
                <w:szCs w:val="24"/>
              </w:rPr>
              <w:t>-</w:t>
            </w: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26"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26"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26"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26"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2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737"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Материально-техническое обеспечение предоставления услуг</w:t>
            </w:r>
          </w:p>
        </w:tc>
        <w:tc>
          <w:tcPr>
            <w:tcW w:w="1826" w:type="dxa"/>
            <w:vAlign w:val="center"/>
          </w:tcPr>
          <w:p w:rsidR="00C26B15" w:rsidRPr="00C26B15" w:rsidRDefault="007403D7" w:rsidP="00265B27">
            <w:pPr>
              <w:pStyle w:val="a3"/>
              <w:widowControl w:val="0"/>
              <w:ind w:left="0"/>
              <w:jc w:val="center"/>
              <w:rPr>
                <w:b/>
                <w:bCs/>
                <w:color w:val="000000"/>
                <w:sz w:val="22"/>
                <w:szCs w:val="24"/>
              </w:rPr>
            </w:pPr>
            <w:r>
              <w:rPr>
                <w:b/>
                <w:bCs/>
                <w:color w:val="000000"/>
                <w:sz w:val="22"/>
                <w:szCs w:val="24"/>
              </w:rPr>
              <w:t>-</w:t>
            </w: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26" w:type="dxa"/>
            <w:vAlign w:val="center"/>
          </w:tcPr>
          <w:p w:rsidR="00C26B15" w:rsidRPr="00C26B15" w:rsidRDefault="007403D7" w:rsidP="00265B27">
            <w:pPr>
              <w:pStyle w:val="a3"/>
              <w:widowControl w:val="0"/>
              <w:ind w:left="0"/>
              <w:jc w:val="center"/>
              <w:rPr>
                <w:b/>
                <w:bCs/>
                <w:color w:val="000000"/>
                <w:sz w:val="22"/>
                <w:szCs w:val="24"/>
              </w:rPr>
            </w:pPr>
            <w:r>
              <w:rPr>
                <w:b/>
                <w:bCs/>
                <w:color w:val="000000"/>
                <w:sz w:val="22"/>
                <w:szCs w:val="24"/>
              </w:rPr>
              <w:t>-</w:t>
            </w: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26"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737"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7403D7">
        <w:trPr>
          <w:jc w:val="center"/>
        </w:trPr>
        <w:tc>
          <w:tcPr>
            <w:tcW w:w="6376"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2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737"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7403D7" w:rsidRPr="00C26B15" w:rsidTr="006E5EAD">
        <w:trPr>
          <w:jc w:val="center"/>
        </w:trPr>
        <w:tc>
          <w:tcPr>
            <w:tcW w:w="6376" w:type="dxa"/>
            <w:vAlign w:val="center"/>
          </w:tcPr>
          <w:p w:rsidR="007403D7" w:rsidRPr="00C26B15" w:rsidRDefault="007403D7" w:rsidP="007403D7">
            <w:pPr>
              <w:pStyle w:val="Default"/>
              <w:spacing w:before="60" w:after="60"/>
              <w:jc w:val="center"/>
              <w:rPr>
                <w:b/>
                <w:bCs/>
                <w:sz w:val="22"/>
              </w:rPr>
            </w:pPr>
            <w:r>
              <w:t>1</w:t>
            </w:r>
          </w:p>
        </w:tc>
        <w:tc>
          <w:tcPr>
            <w:tcW w:w="1826" w:type="dxa"/>
            <w:vAlign w:val="center"/>
          </w:tcPr>
          <w:p w:rsidR="007403D7" w:rsidRPr="00C26B15" w:rsidRDefault="007403D7" w:rsidP="007403D7">
            <w:pPr>
              <w:pStyle w:val="Default"/>
              <w:spacing w:before="60" w:after="60"/>
              <w:jc w:val="center"/>
            </w:pPr>
            <w:r>
              <w:t>2</w:t>
            </w:r>
          </w:p>
        </w:tc>
        <w:tc>
          <w:tcPr>
            <w:tcW w:w="1737" w:type="dxa"/>
            <w:vAlign w:val="center"/>
          </w:tcPr>
          <w:p w:rsidR="007403D7" w:rsidRPr="00C26B15" w:rsidRDefault="007403D7" w:rsidP="007403D7">
            <w:pPr>
              <w:pStyle w:val="Default"/>
              <w:spacing w:before="60" w:after="60"/>
              <w:jc w:val="center"/>
            </w:pPr>
            <w:r>
              <w:t>3</w:t>
            </w:r>
          </w:p>
        </w:tc>
      </w:tr>
      <w:tr w:rsidR="007403D7" w:rsidRPr="00C26B15" w:rsidTr="007403D7">
        <w:trPr>
          <w:jc w:val="center"/>
        </w:trPr>
        <w:tc>
          <w:tcPr>
            <w:tcW w:w="6376" w:type="dxa"/>
          </w:tcPr>
          <w:p w:rsidR="007403D7" w:rsidRPr="00C26B15" w:rsidRDefault="007403D7" w:rsidP="007403D7">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26" w:type="dxa"/>
            <w:vAlign w:val="center"/>
          </w:tcPr>
          <w:p w:rsidR="007403D7" w:rsidRPr="00C26B15" w:rsidRDefault="007403D7" w:rsidP="007403D7">
            <w:pPr>
              <w:pStyle w:val="a3"/>
              <w:widowControl w:val="0"/>
              <w:numPr>
                <w:ilvl w:val="0"/>
                <w:numId w:val="37"/>
              </w:numPr>
              <w:jc w:val="center"/>
              <w:rPr>
                <w:b/>
                <w:bCs/>
                <w:color w:val="000000"/>
                <w:sz w:val="22"/>
                <w:szCs w:val="24"/>
              </w:rPr>
            </w:pPr>
          </w:p>
        </w:tc>
        <w:tc>
          <w:tcPr>
            <w:tcW w:w="1737" w:type="dxa"/>
            <w:vAlign w:val="center"/>
          </w:tcPr>
          <w:p w:rsidR="007403D7" w:rsidRPr="00C26B15" w:rsidRDefault="007403D7" w:rsidP="007403D7">
            <w:pPr>
              <w:pStyle w:val="a3"/>
              <w:widowControl w:val="0"/>
              <w:numPr>
                <w:ilvl w:val="0"/>
                <w:numId w:val="37"/>
              </w:numPr>
              <w:jc w:val="center"/>
              <w:rPr>
                <w:b/>
                <w:bCs/>
                <w:color w:val="000000"/>
                <w:sz w:val="22"/>
                <w:szCs w:val="24"/>
              </w:rPr>
            </w:pPr>
          </w:p>
        </w:tc>
      </w:tr>
      <w:tr w:rsidR="007403D7" w:rsidRPr="00C26B15" w:rsidTr="007403D7">
        <w:trPr>
          <w:jc w:val="center"/>
        </w:trPr>
        <w:tc>
          <w:tcPr>
            <w:tcW w:w="6376" w:type="dxa"/>
          </w:tcPr>
          <w:p w:rsidR="007403D7" w:rsidRPr="00C26B15" w:rsidRDefault="007403D7" w:rsidP="007403D7">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Результаты независимой оценки качества условий оказ</w:t>
            </w:r>
            <w:r>
              <w:rPr>
                <w:color w:val="000000"/>
                <w:sz w:val="22"/>
              </w:rPr>
              <w:t xml:space="preserve">ания услуг, планы по улучшению </w:t>
            </w:r>
            <w:r w:rsidRPr="00C26B15">
              <w:rPr>
                <w:color w:val="000000"/>
                <w:sz w:val="22"/>
              </w:rPr>
              <w:t xml:space="preserve">качества работы организации культуры (по устранению недостатков, выявленных по итогам независимой оценки качества) </w:t>
            </w:r>
          </w:p>
        </w:tc>
        <w:tc>
          <w:tcPr>
            <w:tcW w:w="1826" w:type="dxa"/>
            <w:vAlign w:val="center"/>
          </w:tcPr>
          <w:p w:rsidR="007403D7" w:rsidRPr="00C26B15" w:rsidRDefault="007403D7" w:rsidP="007403D7">
            <w:pPr>
              <w:pStyle w:val="a3"/>
              <w:widowControl w:val="0"/>
              <w:numPr>
                <w:ilvl w:val="0"/>
                <w:numId w:val="37"/>
              </w:numPr>
              <w:jc w:val="center"/>
              <w:rPr>
                <w:bCs/>
                <w:color w:val="000000"/>
                <w:sz w:val="22"/>
                <w:szCs w:val="24"/>
              </w:rPr>
            </w:pPr>
          </w:p>
        </w:tc>
        <w:tc>
          <w:tcPr>
            <w:tcW w:w="1737" w:type="dxa"/>
            <w:vAlign w:val="center"/>
          </w:tcPr>
          <w:p w:rsidR="007403D7" w:rsidRPr="00C26B15" w:rsidRDefault="007403D7" w:rsidP="007403D7">
            <w:pPr>
              <w:pStyle w:val="a3"/>
              <w:widowControl w:val="0"/>
              <w:numPr>
                <w:ilvl w:val="0"/>
                <w:numId w:val="37"/>
              </w:numPr>
              <w:jc w:val="center"/>
              <w:rPr>
                <w:bCs/>
                <w:color w:val="000000"/>
                <w:sz w:val="22"/>
                <w:szCs w:val="24"/>
              </w:rPr>
            </w:pPr>
          </w:p>
        </w:tc>
      </w:tr>
      <w:tr w:rsidR="007403D7" w:rsidRPr="00C26B15" w:rsidTr="007403D7">
        <w:trPr>
          <w:jc w:val="center"/>
        </w:trPr>
        <w:tc>
          <w:tcPr>
            <w:tcW w:w="6376" w:type="dxa"/>
            <w:vAlign w:val="center"/>
          </w:tcPr>
          <w:p w:rsidR="007403D7" w:rsidRPr="00C26B15" w:rsidRDefault="007403D7" w:rsidP="007403D7">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26" w:type="dxa"/>
            <w:vAlign w:val="center"/>
          </w:tcPr>
          <w:p w:rsidR="007403D7" w:rsidRPr="00C26B15" w:rsidRDefault="007403D7" w:rsidP="007403D7">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737" w:type="dxa"/>
            <w:vAlign w:val="center"/>
          </w:tcPr>
          <w:p w:rsidR="007403D7" w:rsidRPr="00C26B15" w:rsidRDefault="007403D7" w:rsidP="007403D7">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CF706D" w:rsidRDefault="00CF706D" w:rsidP="00C26B15">
      <w:pPr>
        <w:widowControl w:val="0"/>
        <w:tabs>
          <w:tab w:val="left" w:pos="6619"/>
        </w:tabs>
        <w:spacing w:line="240" w:lineRule="auto"/>
        <w:rPr>
          <w:rFonts w:ascii="Times New Roman" w:eastAsia="Times New Roman" w:hAnsi="Times New Roman" w:cs="Times New Roman"/>
          <w:b/>
          <w:bCs/>
          <w:color w:val="000000"/>
          <w:sz w:val="24"/>
          <w:szCs w:val="24"/>
        </w:rPr>
      </w:pPr>
    </w:p>
    <w:p w:rsidR="00C26B15" w:rsidRPr="00CF706D" w:rsidRDefault="00C26B15" w:rsidP="00C26B15">
      <w:pPr>
        <w:widowControl w:val="0"/>
        <w:tabs>
          <w:tab w:val="left" w:pos="6619"/>
        </w:tabs>
        <w:spacing w:line="240" w:lineRule="auto"/>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w:t>
      </w:r>
      <w:bookmarkStart w:id="3" w:name="_GoBack"/>
      <w:bookmarkEnd w:id="3"/>
      <w:r w:rsidRPr="00CF706D">
        <w:rPr>
          <w:szCs w:val="24"/>
        </w:rPr>
        <w:t>/единиц информации.</w:t>
      </w:r>
    </w:p>
    <w:p w:rsidR="00C26B15" w:rsidRPr="00CF706D" w:rsidRDefault="007403D7" w:rsidP="00C26B15">
      <w:pPr>
        <w:widowControl w:val="0"/>
        <w:spacing w:line="240" w:lineRule="auto"/>
        <w:ind w:left="709" w:hanging="349"/>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w:t>
      </w:r>
      <w:r w:rsidR="00C26B15" w:rsidRPr="00CF706D">
        <w:rPr>
          <w:rFonts w:ascii="Times New Roman" w:eastAsia="Times New Roman" w:hAnsi="Times New Roman" w:cs="Times New Roman"/>
          <w:bCs/>
          <w:color w:val="000000"/>
          <w:sz w:val="24"/>
          <w:szCs w:val="24"/>
        </w:rPr>
        <w:t xml:space="preserve">    информация (единица информации) </w:t>
      </w:r>
      <w:r w:rsidR="00C26B15" w:rsidRPr="00CF706D">
        <w:rPr>
          <w:rFonts w:ascii="Times New Roman" w:eastAsia="Times New Roman" w:hAnsi="Times New Roman" w:cs="Times New Roman"/>
          <w:b/>
          <w:bCs/>
          <w:color w:val="000000"/>
          <w:sz w:val="24"/>
          <w:szCs w:val="24"/>
        </w:rPr>
        <w:t>не</w:t>
      </w:r>
      <w:r w:rsidR="00C26B15" w:rsidRPr="00CF706D">
        <w:rPr>
          <w:rFonts w:ascii="Times New Roman" w:eastAsia="Times New Roman" w:hAnsi="Times New Roman" w:cs="Times New Roman"/>
          <w:bCs/>
          <w:color w:val="000000"/>
          <w:sz w:val="24"/>
          <w:szCs w:val="24"/>
        </w:rPr>
        <w:t xml:space="preserve"> учитывается в расчете </w:t>
      </w:r>
      <w:r w:rsidR="00C26B15" w:rsidRPr="00CF706D">
        <w:rPr>
          <w:rFonts w:ascii="Times New Roman" w:hAnsi="Times New Roman" w:cs="Times New Roman"/>
          <w:sz w:val="24"/>
          <w:szCs w:val="24"/>
        </w:rPr>
        <w:t>нормативного количества материалов/единиц информации.</w:t>
      </w:r>
    </w:p>
    <w:p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w:t>
      </w:r>
      <w:r w:rsidR="007403D7">
        <w:rPr>
          <w:rFonts w:ascii="Times New Roman" w:hAnsi="Times New Roman" w:cs="Times New Roman"/>
          <w:sz w:val="24"/>
          <w:szCs w:val="24"/>
        </w:rPr>
        <w:t xml:space="preserve"> </w:t>
      </w:r>
      <w:r w:rsidRPr="00CF706D">
        <w:rPr>
          <w:rFonts w:ascii="Times New Roman" w:hAnsi="Times New Roman" w:cs="Times New Roman"/>
          <w:sz w:val="24"/>
          <w:szCs w:val="24"/>
        </w:rPr>
        <w:t>на число</w:t>
      </w:r>
      <w:r w:rsidR="007403D7">
        <w:rPr>
          <w:rFonts w:ascii="Times New Roman" w:hAnsi="Times New Roman" w:cs="Times New Roman"/>
          <w:sz w:val="24"/>
          <w:szCs w:val="24"/>
        </w:rPr>
        <w:t xml:space="preserve"> </w:t>
      </w:r>
      <w:r w:rsidRPr="00CF706D">
        <w:rPr>
          <w:rFonts w:ascii="Times New Roman" w:hAnsi="Times New Roman" w:cs="Times New Roman"/>
          <w:sz w:val="24"/>
          <w:szCs w:val="24"/>
        </w:rPr>
        <w:t>отсутствующих в организации культуры отдельных элементов деятельности (в таблице данные элементы указаны со знаком «звездочка» - *).</w:t>
      </w:r>
    </w:p>
    <w:bookmarkEnd w:id="2"/>
    <w:bookmarkEnd w:id="0"/>
    <w:bookmarkEnd w:id="1"/>
    <w:p w:rsidR="00C95CC6" w:rsidRDefault="00C95CC6" w:rsidP="00915D0C">
      <w:pPr>
        <w:spacing w:after="0" w:line="360" w:lineRule="auto"/>
        <w:ind w:firstLine="709"/>
        <w:jc w:val="both"/>
        <w:rPr>
          <w:rFonts w:ascii="Times New Roman" w:eastAsia="Times New Roman" w:hAnsi="Times New Roman" w:cs="Times New Roman"/>
          <w:sz w:val="28"/>
          <w:szCs w:val="28"/>
        </w:rPr>
      </w:pPr>
    </w:p>
    <w:sectPr w:rsidR="00C95CC6" w:rsidSect="004D191C">
      <w:footerReference w:type="default" r:id="rId8"/>
      <w:pgSz w:w="11906" w:h="16838"/>
      <w:pgMar w:top="1134" w:right="69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3F" w:rsidRDefault="000C3B3F" w:rsidP="003A40F1">
      <w:pPr>
        <w:spacing w:after="0" w:line="240" w:lineRule="auto"/>
      </w:pPr>
      <w:r>
        <w:separator/>
      </w:r>
    </w:p>
  </w:endnote>
  <w:endnote w:type="continuationSeparator" w:id="0">
    <w:p w:rsidR="000C3B3F" w:rsidRDefault="000C3B3F"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14291"/>
      <w:docPartObj>
        <w:docPartGallery w:val="Page Numbers (Bottom of Page)"/>
        <w:docPartUnique/>
      </w:docPartObj>
    </w:sdtPr>
    <w:sdtEndPr/>
    <w:sdtContent>
      <w:p w:rsidR="00443C8B" w:rsidRDefault="00443C8B">
        <w:pPr>
          <w:pStyle w:val="af4"/>
          <w:jc w:val="center"/>
        </w:pPr>
        <w:r>
          <w:fldChar w:fldCharType="begin"/>
        </w:r>
        <w:r>
          <w:instrText>PAGE   \* MERGEFORMAT</w:instrText>
        </w:r>
        <w:r>
          <w:fldChar w:fldCharType="separate"/>
        </w:r>
        <w:r w:rsidR="004D191C">
          <w:rPr>
            <w:noProof/>
          </w:rPr>
          <w:t>2</w:t>
        </w:r>
        <w:r>
          <w:rPr>
            <w:noProof/>
          </w:rPr>
          <w:fldChar w:fldCharType="end"/>
        </w:r>
      </w:p>
    </w:sdtContent>
  </w:sdt>
  <w:p w:rsidR="00443C8B" w:rsidRDefault="00443C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3F" w:rsidRDefault="000C3B3F" w:rsidP="003A40F1">
      <w:pPr>
        <w:spacing w:after="0" w:line="240" w:lineRule="auto"/>
      </w:pPr>
      <w:r>
        <w:separator/>
      </w:r>
    </w:p>
  </w:footnote>
  <w:footnote w:type="continuationSeparator" w:id="0">
    <w:p w:rsidR="000C3B3F" w:rsidRDefault="000C3B3F" w:rsidP="003A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6"/>
  </w:num>
  <w:num w:numId="18">
    <w:abstractNumId w:val="38"/>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5"/>
  </w:num>
  <w:num w:numId="37">
    <w:abstractNumId w:val="39"/>
  </w:num>
  <w:num w:numId="38">
    <w:abstractNumId w:val="37"/>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7428"/>
    <w:rsid w:val="00020E7B"/>
    <w:rsid w:val="0002180A"/>
    <w:rsid w:val="00023D02"/>
    <w:rsid w:val="00032514"/>
    <w:rsid w:val="00045A03"/>
    <w:rsid w:val="000648BC"/>
    <w:rsid w:val="00070D88"/>
    <w:rsid w:val="0009219B"/>
    <w:rsid w:val="000A3059"/>
    <w:rsid w:val="000A7704"/>
    <w:rsid w:val="000C32FD"/>
    <w:rsid w:val="000C3B3F"/>
    <w:rsid w:val="000E5A8D"/>
    <w:rsid w:val="00104539"/>
    <w:rsid w:val="00121514"/>
    <w:rsid w:val="00190D2B"/>
    <w:rsid w:val="001A5835"/>
    <w:rsid w:val="001A64C5"/>
    <w:rsid w:val="001E2CC5"/>
    <w:rsid w:val="001F0F01"/>
    <w:rsid w:val="00252533"/>
    <w:rsid w:val="00254974"/>
    <w:rsid w:val="00255C28"/>
    <w:rsid w:val="0026055D"/>
    <w:rsid w:val="00265B27"/>
    <w:rsid w:val="00274D68"/>
    <w:rsid w:val="00277079"/>
    <w:rsid w:val="002A7D9E"/>
    <w:rsid w:val="002B192D"/>
    <w:rsid w:val="002B27AC"/>
    <w:rsid w:val="002B28F1"/>
    <w:rsid w:val="002C5480"/>
    <w:rsid w:val="002D267B"/>
    <w:rsid w:val="00306F5E"/>
    <w:rsid w:val="00366E55"/>
    <w:rsid w:val="00383A4F"/>
    <w:rsid w:val="00386E01"/>
    <w:rsid w:val="00390574"/>
    <w:rsid w:val="00391A89"/>
    <w:rsid w:val="003928B9"/>
    <w:rsid w:val="00392BED"/>
    <w:rsid w:val="0039751B"/>
    <w:rsid w:val="00397E06"/>
    <w:rsid w:val="003A40F1"/>
    <w:rsid w:val="003B5447"/>
    <w:rsid w:val="003C13D1"/>
    <w:rsid w:val="003D3C97"/>
    <w:rsid w:val="0041344B"/>
    <w:rsid w:val="00443C8B"/>
    <w:rsid w:val="00451FC5"/>
    <w:rsid w:val="0046349E"/>
    <w:rsid w:val="004657D3"/>
    <w:rsid w:val="00472897"/>
    <w:rsid w:val="00481101"/>
    <w:rsid w:val="00495403"/>
    <w:rsid w:val="0049671B"/>
    <w:rsid w:val="00496D7B"/>
    <w:rsid w:val="004A0017"/>
    <w:rsid w:val="004A50F9"/>
    <w:rsid w:val="004C0DC5"/>
    <w:rsid w:val="004D191C"/>
    <w:rsid w:val="004D2DD8"/>
    <w:rsid w:val="0052019F"/>
    <w:rsid w:val="00524786"/>
    <w:rsid w:val="005336A1"/>
    <w:rsid w:val="005375C0"/>
    <w:rsid w:val="0054615F"/>
    <w:rsid w:val="00551FDE"/>
    <w:rsid w:val="005608BD"/>
    <w:rsid w:val="00576011"/>
    <w:rsid w:val="00586B28"/>
    <w:rsid w:val="005A1F14"/>
    <w:rsid w:val="005D624E"/>
    <w:rsid w:val="005F46FC"/>
    <w:rsid w:val="00600126"/>
    <w:rsid w:val="0060724C"/>
    <w:rsid w:val="006562C5"/>
    <w:rsid w:val="0067218D"/>
    <w:rsid w:val="00683192"/>
    <w:rsid w:val="0068489D"/>
    <w:rsid w:val="0069235A"/>
    <w:rsid w:val="006956AB"/>
    <w:rsid w:val="006A3F20"/>
    <w:rsid w:val="006A60F2"/>
    <w:rsid w:val="006B6C79"/>
    <w:rsid w:val="006B7BF1"/>
    <w:rsid w:val="006C2876"/>
    <w:rsid w:val="006C6280"/>
    <w:rsid w:val="006E144A"/>
    <w:rsid w:val="006E1E64"/>
    <w:rsid w:val="006E6811"/>
    <w:rsid w:val="007403D7"/>
    <w:rsid w:val="007568E7"/>
    <w:rsid w:val="007650FB"/>
    <w:rsid w:val="00783250"/>
    <w:rsid w:val="00787FDA"/>
    <w:rsid w:val="00796DC8"/>
    <w:rsid w:val="007A29F9"/>
    <w:rsid w:val="007A4B49"/>
    <w:rsid w:val="007C68B7"/>
    <w:rsid w:val="007F49BC"/>
    <w:rsid w:val="00817284"/>
    <w:rsid w:val="00830DE6"/>
    <w:rsid w:val="00895A0F"/>
    <w:rsid w:val="00896984"/>
    <w:rsid w:val="008A78DE"/>
    <w:rsid w:val="008C0155"/>
    <w:rsid w:val="008D0FAC"/>
    <w:rsid w:val="008D23C8"/>
    <w:rsid w:val="008D2B60"/>
    <w:rsid w:val="00903885"/>
    <w:rsid w:val="00905104"/>
    <w:rsid w:val="00915D0C"/>
    <w:rsid w:val="00920DCD"/>
    <w:rsid w:val="00925EA1"/>
    <w:rsid w:val="00927324"/>
    <w:rsid w:val="00933593"/>
    <w:rsid w:val="009459A0"/>
    <w:rsid w:val="00974791"/>
    <w:rsid w:val="009806D6"/>
    <w:rsid w:val="00980AE8"/>
    <w:rsid w:val="009A0A88"/>
    <w:rsid w:val="009B7BA6"/>
    <w:rsid w:val="009C64E6"/>
    <w:rsid w:val="009F5EAE"/>
    <w:rsid w:val="009F7DD0"/>
    <w:rsid w:val="00A003C5"/>
    <w:rsid w:val="00A054D8"/>
    <w:rsid w:val="00A1156B"/>
    <w:rsid w:val="00A36CF3"/>
    <w:rsid w:val="00A36E8A"/>
    <w:rsid w:val="00A43BFB"/>
    <w:rsid w:val="00A43D01"/>
    <w:rsid w:val="00A622DE"/>
    <w:rsid w:val="00A66D55"/>
    <w:rsid w:val="00A71AD8"/>
    <w:rsid w:val="00A7294D"/>
    <w:rsid w:val="00A7319C"/>
    <w:rsid w:val="00A97909"/>
    <w:rsid w:val="00AA1C6B"/>
    <w:rsid w:val="00AB25F7"/>
    <w:rsid w:val="00AC4F3C"/>
    <w:rsid w:val="00AD6BD8"/>
    <w:rsid w:val="00AF257C"/>
    <w:rsid w:val="00B21876"/>
    <w:rsid w:val="00B23683"/>
    <w:rsid w:val="00B350E4"/>
    <w:rsid w:val="00B40A6C"/>
    <w:rsid w:val="00B67983"/>
    <w:rsid w:val="00B917CD"/>
    <w:rsid w:val="00BA04B5"/>
    <w:rsid w:val="00BA09AF"/>
    <w:rsid w:val="00BA5080"/>
    <w:rsid w:val="00BB5D56"/>
    <w:rsid w:val="00BC6143"/>
    <w:rsid w:val="00BF24FE"/>
    <w:rsid w:val="00BF4981"/>
    <w:rsid w:val="00C04D22"/>
    <w:rsid w:val="00C05E84"/>
    <w:rsid w:val="00C0663B"/>
    <w:rsid w:val="00C2678C"/>
    <w:rsid w:val="00C26B15"/>
    <w:rsid w:val="00C33C34"/>
    <w:rsid w:val="00C82D23"/>
    <w:rsid w:val="00C85395"/>
    <w:rsid w:val="00C95CC6"/>
    <w:rsid w:val="00CA129D"/>
    <w:rsid w:val="00CA7C9E"/>
    <w:rsid w:val="00CB24F6"/>
    <w:rsid w:val="00CB6BFF"/>
    <w:rsid w:val="00CC3155"/>
    <w:rsid w:val="00CD636B"/>
    <w:rsid w:val="00CE392F"/>
    <w:rsid w:val="00CE6647"/>
    <w:rsid w:val="00CF706D"/>
    <w:rsid w:val="00D0117D"/>
    <w:rsid w:val="00D15137"/>
    <w:rsid w:val="00D248DB"/>
    <w:rsid w:val="00D325E8"/>
    <w:rsid w:val="00D34A19"/>
    <w:rsid w:val="00D42124"/>
    <w:rsid w:val="00D43FD1"/>
    <w:rsid w:val="00D44CD8"/>
    <w:rsid w:val="00D624B4"/>
    <w:rsid w:val="00D7598B"/>
    <w:rsid w:val="00D77706"/>
    <w:rsid w:val="00D92EEE"/>
    <w:rsid w:val="00D9469B"/>
    <w:rsid w:val="00DD4869"/>
    <w:rsid w:val="00DF39F1"/>
    <w:rsid w:val="00DF6C20"/>
    <w:rsid w:val="00E3195A"/>
    <w:rsid w:val="00E41E27"/>
    <w:rsid w:val="00E453D0"/>
    <w:rsid w:val="00E61B2E"/>
    <w:rsid w:val="00E70D66"/>
    <w:rsid w:val="00E75519"/>
    <w:rsid w:val="00E906DB"/>
    <w:rsid w:val="00E953E8"/>
    <w:rsid w:val="00E97A9F"/>
    <w:rsid w:val="00EA6D65"/>
    <w:rsid w:val="00ED3268"/>
    <w:rsid w:val="00EF7B54"/>
    <w:rsid w:val="00F10314"/>
    <w:rsid w:val="00F1426B"/>
    <w:rsid w:val="00F22FB6"/>
    <w:rsid w:val="00F3166D"/>
    <w:rsid w:val="00F33448"/>
    <w:rsid w:val="00F45EC8"/>
    <w:rsid w:val="00F558CE"/>
    <w:rsid w:val="00F86A72"/>
    <w:rsid w:val="00F95773"/>
    <w:rsid w:val="00FB1664"/>
    <w:rsid w:val="00FC147F"/>
    <w:rsid w:val="00FD6B05"/>
    <w:rsid w:val="00FD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43396-C658-4257-A566-756CDC72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F5149-DF99-4FE2-A5DC-AF0FB40C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cp:lastModifiedBy>
  <cp:revision>3</cp:revision>
  <cp:lastPrinted>2020-05-26T05:55:00Z</cp:lastPrinted>
  <dcterms:created xsi:type="dcterms:W3CDTF">2020-05-26T06:16:00Z</dcterms:created>
  <dcterms:modified xsi:type="dcterms:W3CDTF">2020-05-26T06:16:00Z</dcterms:modified>
</cp:coreProperties>
</file>